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8688D">
      <w:pPr>
        <w:spacing w:line="720" w:lineRule="exact"/>
        <w:ind w:firstLine="0" w:firstLineChars="0"/>
        <w:jc w:val="center"/>
        <w:rPr>
          <w:rFonts w:ascii="方正小标宋_GBK" w:eastAsia="方正小标宋_GBK" w:cs="Times New Roman"/>
          <w:bCs/>
          <w:sz w:val="44"/>
          <w:szCs w:val="44"/>
        </w:rPr>
      </w:pPr>
      <w:r>
        <w:rPr>
          <w:rFonts w:hint="eastAsia" w:ascii="方正小标宋_GBK" w:eastAsia="方正小标宋_GBK" w:cs="Times New Roman"/>
          <w:bCs/>
          <w:sz w:val="44"/>
          <w:szCs w:val="44"/>
        </w:rPr>
        <w:t>重庆建工集团股份有限公司</w:t>
      </w:r>
    </w:p>
    <w:p w14:paraId="3BA3A2E8">
      <w:pPr>
        <w:spacing w:line="720" w:lineRule="exact"/>
        <w:ind w:firstLine="0" w:firstLineChars="0"/>
        <w:jc w:val="center"/>
        <w:rPr>
          <w:rFonts w:hint="eastAsia" w:ascii="方正小标宋_GBK" w:eastAsia="方正小标宋_GBK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Times New Roman"/>
          <w:bCs/>
          <w:sz w:val="44"/>
          <w:szCs w:val="44"/>
          <w:lang w:val="en-US" w:eastAsia="zh-CN"/>
        </w:rPr>
        <w:t>首席专家于海祥、杨寿忠宣传短视频</w:t>
      </w:r>
    </w:p>
    <w:p w14:paraId="5BAD8DCE">
      <w:pPr>
        <w:spacing w:line="720" w:lineRule="exact"/>
        <w:ind w:firstLine="0" w:firstLineChars="0"/>
        <w:jc w:val="center"/>
        <w:rPr>
          <w:rFonts w:ascii="方正小标宋_GBK" w:eastAsia="方正小标宋_GBK" w:cs="Times New Roman"/>
          <w:bCs/>
          <w:sz w:val="44"/>
          <w:szCs w:val="44"/>
        </w:rPr>
      </w:pPr>
      <w:r>
        <w:rPr>
          <w:rFonts w:hint="eastAsia" w:ascii="方正小标宋_GBK" w:eastAsia="方正小标宋_GBK" w:cs="Times New Roman"/>
          <w:bCs/>
          <w:sz w:val="44"/>
          <w:szCs w:val="44"/>
          <w:lang w:val="en-US" w:eastAsia="zh-CN"/>
        </w:rPr>
        <w:t>采购项目</w:t>
      </w:r>
    </w:p>
    <w:p w14:paraId="73DC4513">
      <w:pPr>
        <w:spacing w:line="720" w:lineRule="exact"/>
        <w:ind w:firstLine="0" w:firstLineChars="0"/>
        <w:jc w:val="center"/>
        <w:rPr>
          <w:rFonts w:eastAsia="方正小标宋_GBK" w:cs="Times New Roman"/>
          <w:bCs/>
          <w:sz w:val="44"/>
          <w:szCs w:val="44"/>
        </w:rPr>
      </w:pPr>
    </w:p>
    <w:p w14:paraId="66EAF459">
      <w:pPr>
        <w:spacing w:line="720" w:lineRule="exact"/>
        <w:ind w:firstLine="0" w:firstLineChars="0"/>
        <w:jc w:val="center"/>
        <w:rPr>
          <w:rFonts w:eastAsia="方正小标宋_GBK" w:cs="Times New Roman"/>
          <w:bCs/>
          <w:sz w:val="44"/>
          <w:szCs w:val="44"/>
        </w:rPr>
      </w:pPr>
    </w:p>
    <w:p w14:paraId="5BAE6F30">
      <w:pPr>
        <w:ind w:firstLine="0" w:firstLineChars="0"/>
        <w:jc w:val="center"/>
        <w:rPr>
          <w:rFonts w:ascii="方正小标宋_GBK" w:eastAsia="方正小标宋_GBK" w:cs="Times New Roman"/>
          <w:sz w:val="52"/>
          <w:szCs w:val="52"/>
        </w:rPr>
      </w:pPr>
      <w:bookmarkStart w:id="0" w:name="_Toc56607403"/>
      <w:r>
        <w:rPr>
          <w:rFonts w:hint="eastAsia" w:ascii="方正小标宋_GBK" w:eastAsia="方正小标宋_GBK" w:cs="Times New Roman"/>
          <w:sz w:val="52"/>
          <w:szCs w:val="52"/>
          <w:lang w:val="en-US" w:eastAsia="zh-CN"/>
        </w:rPr>
        <w:t>询</w:t>
      </w:r>
      <w:r>
        <w:rPr>
          <w:rFonts w:hint="eastAsia" w:ascii="方正小标宋_GBK" w:eastAsia="方正小标宋_GBK" w:cs="Times New Roman"/>
          <w:sz w:val="52"/>
          <w:szCs w:val="52"/>
        </w:rPr>
        <w:br w:type="textWrapping"/>
      </w:r>
      <w:r>
        <w:rPr>
          <w:rFonts w:hint="eastAsia" w:ascii="方正小标宋_GBK" w:eastAsia="方正小标宋_GBK" w:cs="Times New Roman"/>
          <w:sz w:val="52"/>
          <w:szCs w:val="52"/>
        </w:rPr>
        <w:br w:type="textWrapping"/>
      </w:r>
      <w:r>
        <w:rPr>
          <w:rFonts w:hint="eastAsia" w:ascii="方正小标宋_GBK" w:eastAsia="方正小标宋_GBK" w:cs="Times New Roman"/>
          <w:sz w:val="52"/>
          <w:szCs w:val="52"/>
          <w:lang w:val="en-US" w:eastAsia="zh-CN"/>
        </w:rPr>
        <w:t>比</w:t>
      </w:r>
      <w:r>
        <w:rPr>
          <w:rFonts w:hint="eastAsia" w:ascii="方正小标宋_GBK" w:eastAsia="方正小标宋_GBK" w:cs="Times New Roman"/>
          <w:sz w:val="52"/>
          <w:szCs w:val="52"/>
        </w:rPr>
        <w:br w:type="textWrapping"/>
      </w:r>
      <w:r>
        <w:rPr>
          <w:rFonts w:hint="eastAsia" w:ascii="方正小标宋_GBK" w:eastAsia="方正小标宋_GBK" w:cs="Times New Roman"/>
          <w:sz w:val="52"/>
          <w:szCs w:val="52"/>
        </w:rPr>
        <w:br w:type="textWrapping"/>
      </w:r>
      <w:r>
        <w:rPr>
          <w:rFonts w:hint="eastAsia" w:ascii="方正小标宋_GBK" w:eastAsia="方正小标宋_GBK" w:cs="Times New Roman"/>
          <w:sz w:val="52"/>
          <w:szCs w:val="52"/>
        </w:rPr>
        <w:t>文</w:t>
      </w:r>
      <w:r>
        <w:rPr>
          <w:rFonts w:hint="eastAsia" w:ascii="方正小标宋_GBK" w:eastAsia="方正小标宋_GBK" w:cs="Times New Roman"/>
          <w:sz w:val="52"/>
          <w:szCs w:val="52"/>
        </w:rPr>
        <w:br w:type="textWrapping"/>
      </w:r>
      <w:r>
        <w:rPr>
          <w:rFonts w:hint="eastAsia" w:ascii="方正小标宋_GBK" w:eastAsia="方正小标宋_GBK" w:cs="Times New Roman"/>
          <w:sz w:val="52"/>
          <w:szCs w:val="52"/>
        </w:rPr>
        <w:br w:type="textWrapping"/>
      </w:r>
      <w:r>
        <w:rPr>
          <w:rFonts w:hint="eastAsia" w:ascii="方正小标宋_GBK" w:eastAsia="方正小标宋_GBK" w:cs="Times New Roman"/>
          <w:sz w:val="52"/>
          <w:szCs w:val="52"/>
        </w:rPr>
        <w:t>件</w:t>
      </w:r>
      <w:bookmarkEnd w:id="0"/>
    </w:p>
    <w:p w14:paraId="6BA886F1">
      <w:pPr>
        <w:ind w:firstLine="0" w:firstLineChars="0"/>
        <w:jc w:val="center"/>
        <w:rPr>
          <w:rFonts w:eastAsia="宋体" w:cs="Times New Roman"/>
          <w:b/>
          <w:szCs w:val="32"/>
        </w:rPr>
      </w:pPr>
    </w:p>
    <w:p w14:paraId="12E5369C">
      <w:pPr>
        <w:ind w:firstLine="0" w:firstLineChars="0"/>
        <w:jc w:val="center"/>
        <w:rPr>
          <w:rFonts w:eastAsia="宋体" w:cs="Times New Roman"/>
          <w:b/>
          <w:szCs w:val="32"/>
        </w:rPr>
      </w:pPr>
    </w:p>
    <w:p w14:paraId="1413E416">
      <w:pPr>
        <w:ind w:firstLine="0" w:firstLineChars="0"/>
        <w:jc w:val="center"/>
        <w:rPr>
          <w:rFonts w:ascii="方正小标宋_GBK" w:eastAsia="方正小标宋_GBK" w:cs="Times New Roman"/>
          <w:bCs/>
          <w:szCs w:val="32"/>
        </w:rPr>
      </w:pPr>
      <w:r>
        <w:rPr>
          <w:rFonts w:hint="eastAsia" w:ascii="方正小标宋_GBK" w:eastAsia="方正小标宋_GBK" w:cs="Times New Roman"/>
          <w:bCs/>
          <w:szCs w:val="32"/>
        </w:rPr>
        <w:t>重庆建工集团股份有限公司</w:t>
      </w:r>
    </w:p>
    <w:p w14:paraId="288B580E">
      <w:pPr>
        <w:ind w:left="0" w:leftChars="0" w:firstLine="0" w:firstLineChars="0"/>
        <w:jc w:val="center"/>
        <w:rPr>
          <w:rFonts w:hint="eastAsia" w:ascii="方正小标宋_GBK" w:eastAsia="方正小标宋_GBK" w:cs="Times New Roman"/>
          <w:bCs/>
          <w:szCs w:val="32"/>
        </w:rPr>
      </w:pPr>
      <w:r>
        <w:rPr>
          <w:rFonts w:hint="eastAsia" w:ascii="方正小标宋_GBK" w:eastAsia="方正小标宋_GBK" w:cs="Times New Roman"/>
          <w:bCs/>
          <w:szCs w:val="32"/>
          <w:lang w:val="en-US" w:eastAsia="zh-CN"/>
        </w:rPr>
        <w:t>2025</w:t>
      </w:r>
      <w:r>
        <w:rPr>
          <w:rFonts w:hint="eastAsia" w:ascii="方正小标宋_GBK" w:eastAsia="方正小标宋_GBK" w:cs="Times New Roman"/>
          <w:bCs/>
          <w:szCs w:val="32"/>
        </w:rPr>
        <w:t>年</w:t>
      </w:r>
      <w:r>
        <w:rPr>
          <w:rFonts w:hint="eastAsia" w:ascii="方正小标宋_GBK" w:eastAsia="方正小标宋_GBK" w:cs="Times New Roman"/>
          <w:bCs/>
          <w:szCs w:val="32"/>
          <w:lang w:val="en-US" w:eastAsia="zh-CN"/>
        </w:rPr>
        <w:t>7</w:t>
      </w:r>
      <w:r>
        <w:rPr>
          <w:rFonts w:hint="eastAsia" w:ascii="方正小标宋_GBK" w:eastAsia="方正小标宋_GBK" w:cs="Times New Roman"/>
          <w:bCs/>
          <w:szCs w:val="32"/>
        </w:rPr>
        <w:t>月</w:t>
      </w:r>
    </w:p>
    <w:p w14:paraId="6A6B9EA7">
      <w:pPr>
        <w:rPr>
          <w:rFonts w:hint="eastAsia" w:ascii="方正小标宋_GBK" w:eastAsia="方正小标宋_GBK" w:cs="Times New Roman"/>
          <w:bCs/>
          <w:szCs w:val="32"/>
        </w:rPr>
      </w:pPr>
      <w:r>
        <w:rPr>
          <w:rFonts w:hint="eastAsia" w:ascii="方正小标宋_GBK" w:eastAsia="方正小标宋_GBK" w:cs="Times New Roman"/>
          <w:bCs/>
          <w:szCs w:val="32"/>
        </w:rPr>
        <w:br w:type="page"/>
      </w:r>
    </w:p>
    <w:sdt>
      <w:sdtPr>
        <w:rPr>
          <w:rFonts w:hint="eastAsia" w:ascii="方正小标宋_GBK" w:eastAsia="方正小标宋_GBK" w:cs="Times New Roman"/>
          <w:bCs/>
          <w:sz w:val="44"/>
          <w:szCs w:val="44"/>
          <w:lang w:val="zh-CN"/>
        </w:rPr>
        <w:id w:val="391618484"/>
        <w:docPartObj>
          <w:docPartGallery w:val="Table of Contents"/>
          <w:docPartUnique/>
        </w:docPartObj>
      </w:sdtPr>
      <w:sdtEndPr>
        <w:rPr>
          <w:rFonts w:hint="eastAsia" w:ascii="方正小标宋_GBK" w:eastAsia="方正小标宋_GBK" w:cs="Times New Roman"/>
          <w:bCs/>
          <w:sz w:val="44"/>
          <w:szCs w:val="32"/>
          <w:lang w:val="zh-CN"/>
        </w:rPr>
      </w:sdtEndPr>
      <w:sdtContent>
        <w:p w14:paraId="4348B991">
          <w:pPr>
            <w:ind w:left="0" w:leftChars="0" w:firstLine="0" w:firstLineChars="0"/>
            <w:jc w:val="center"/>
            <w:rPr>
              <w:rFonts w:hint="eastAsia" w:ascii="方正小标宋_GBK" w:eastAsia="方正小标宋_GBK" w:cs="Times New Roman"/>
              <w:bCs/>
              <w:sz w:val="44"/>
              <w:szCs w:val="44"/>
            </w:rPr>
          </w:pPr>
          <w:r>
            <w:rPr>
              <w:rFonts w:hint="eastAsia" w:ascii="方正小标宋_GBK" w:eastAsia="方正小标宋_GBK" w:cs="Times New Roman"/>
              <w:bCs/>
              <w:sz w:val="44"/>
              <w:szCs w:val="44"/>
              <w:lang w:val="zh-CN"/>
            </w:rPr>
            <w:t>目    录</w:t>
          </w:r>
        </w:p>
        <w:p w14:paraId="5E188C23">
          <w:pPr>
            <w:rPr>
              <w:rFonts w:hint="eastAsia" w:ascii="方正小标宋_GBK" w:eastAsia="方正小标宋_GBK" w:cs="Times New Roman"/>
              <w:bCs/>
              <w:szCs w:val="32"/>
            </w:rPr>
          </w:pPr>
          <w:r>
            <w:rPr>
              <w:rFonts w:hint="eastAsia" w:ascii="方正小标宋_GBK" w:eastAsia="方正小标宋_GBK" w:cs="Times New Roman"/>
              <w:bCs/>
              <w:szCs w:val="32"/>
            </w:rPr>
            <w:fldChar w:fldCharType="begin"/>
          </w:r>
          <w:r>
            <w:rPr>
              <w:rFonts w:hint="eastAsia" w:ascii="方正小标宋_GBK" w:eastAsia="方正小标宋_GBK" w:cs="Times New Roman"/>
              <w:bCs/>
              <w:szCs w:val="32"/>
            </w:rPr>
            <w:instrText xml:space="preserve"> TOC \o "1-3" \h \z \u </w:instrText>
          </w:r>
          <w:r>
            <w:rPr>
              <w:rFonts w:hint="eastAsia" w:ascii="方正小标宋_GBK" w:eastAsia="方正小标宋_GBK" w:cs="Times New Roman"/>
              <w:bCs/>
              <w:szCs w:val="32"/>
            </w:rPr>
            <w:fldChar w:fldCharType="separate"/>
          </w:r>
        </w:p>
        <w:p w14:paraId="303890BB">
          <w:pPr>
            <w:rPr>
              <w:rFonts w:hint="eastAsia" w:ascii="方正黑体_GBK" w:hAnsi="方正黑体_GBK" w:eastAsia="方正黑体_GBK" w:cs="方正黑体_GBK"/>
              <w:bCs/>
              <w:szCs w:val="32"/>
            </w:rPr>
          </w:pPr>
          <w:r>
            <w:rPr>
              <w:rFonts w:hint="eastAsia" w:ascii="方正黑体_GBK" w:hAnsi="方正黑体_GBK" w:eastAsia="方正黑体_GBK" w:cs="方正黑体_GBK"/>
              <w:bCs/>
              <w:szCs w:val="32"/>
              <w:lang w:val="en-US" w:eastAsia="zh-CN"/>
            </w:rPr>
            <w:t>一、询比</w:t>
          </w:r>
          <w:r>
            <w:rPr>
              <w:rFonts w:hint="eastAsia" w:ascii="方正黑体_GBK" w:hAnsi="方正黑体_GBK" w:eastAsia="方正黑体_GBK" w:cs="方正黑体_GBK"/>
              <w:bCs/>
              <w:szCs w:val="32"/>
            </w:rPr>
            <w:t>公告</w:t>
          </w:r>
        </w:p>
        <w:p w14:paraId="647FA3CB">
          <w:pPr>
            <w:rPr>
              <w:rFonts w:hint="eastAsia" w:ascii="方正小标宋_GBK" w:eastAsia="方正小标宋_GBK" w:cs="Times New Roman"/>
              <w:bCs/>
              <w:szCs w:val="32"/>
            </w:rPr>
          </w:pPr>
        </w:p>
        <w:p w14:paraId="328F1EB2">
          <w:pPr>
            <w:rPr>
              <w:rFonts w:hint="eastAsia" w:ascii="方正黑体_GBK" w:hAnsi="方正黑体_GBK" w:eastAsia="方正黑体_GBK" w:cs="方正黑体_GBK"/>
              <w:bCs/>
              <w:szCs w:val="32"/>
            </w:rPr>
          </w:pPr>
          <w:r>
            <w:rPr>
              <w:rFonts w:hint="eastAsia" w:ascii="方正黑体_GBK" w:hAnsi="方正黑体_GBK" w:eastAsia="方正黑体_GBK" w:cs="方正黑体_GBK"/>
              <w:bCs/>
              <w:szCs w:val="32"/>
              <w:lang w:val="en-US" w:eastAsia="zh-CN"/>
            </w:rPr>
            <w:t>二、</w:t>
          </w:r>
          <w:r>
            <w:rPr>
              <w:rFonts w:hint="eastAsia" w:ascii="方正黑体_GBK" w:hAnsi="方正黑体_GBK" w:eastAsia="方正黑体_GBK" w:cs="方正黑体_GBK"/>
              <w:bCs/>
              <w:szCs w:val="32"/>
            </w:rPr>
            <w:t>竞选人须知</w:t>
          </w:r>
        </w:p>
        <w:p w14:paraId="6ED8A0D9">
          <w:pPr>
            <w:rPr>
              <w:rFonts w:hint="eastAsia" w:ascii="方正小标宋_GBK" w:eastAsia="方正小标宋_GBK" w:cs="Times New Roman"/>
              <w:bCs/>
              <w:szCs w:val="32"/>
              <w:lang w:val="zh-CN"/>
            </w:rPr>
          </w:pPr>
          <w:r>
            <w:rPr>
              <w:rFonts w:hint="eastAsia" w:ascii="方正小标宋_GBK" w:eastAsia="方正小标宋_GBK" w:cs="Times New Roman"/>
              <w:bCs/>
              <w:szCs w:val="32"/>
              <w:lang w:val="zh-CN"/>
            </w:rPr>
            <w:fldChar w:fldCharType="end"/>
          </w:r>
        </w:p>
      </w:sdtContent>
    </w:sdt>
    <w:p w14:paraId="068ECBC5">
      <w:pPr>
        <w:rPr>
          <w:rFonts w:hint="eastAsia" w:ascii="方正小标宋_GBK" w:eastAsia="方正小标宋_GBK" w:cs="Times New Roman"/>
          <w:bCs/>
          <w:szCs w:val="32"/>
        </w:rPr>
      </w:pPr>
      <w:r>
        <w:rPr>
          <w:rFonts w:hint="eastAsia" w:ascii="方正小标宋_GBK" w:eastAsia="方正小标宋_GBK" w:cs="Times New Roman"/>
          <w:bCs/>
          <w:szCs w:val="32"/>
        </w:rPr>
        <w:br w:type="page"/>
      </w:r>
    </w:p>
    <w:p w14:paraId="1DABB68A"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重庆建工集团股份有限公司</w:t>
      </w:r>
    </w:p>
    <w:p w14:paraId="4E1795C3"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首席专家于海祥、杨寿忠宣传短视频</w:t>
      </w:r>
    </w:p>
    <w:p w14:paraId="66A43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询比</w:t>
      </w:r>
      <w:r>
        <w:rPr>
          <w:rFonts w:hint="eastAsia" w:ascii="方正黑体_GBK" w:hAnsi="方正黑体_GBK" w:eastAsia="方正黑体_GBK" w:cs="方正黑体_GBK"/>
          <w:sz w:val="44"/>
          <w:szCs w:val="44"/>
        </w:rPr>
        <w:t>公告</w:t>
      </w:r>
    </w:p>
    <w:p w14:paraId="456EC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</w:rPr>
      </w:pPr>
    </w:p>
    <w:p w14:paraId="55060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致各竞选人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0943D4B8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重庆建工集团股份有限公司拟对集团首席专家于海祥、杨寿忠宣传短视频采用询比方式确定供应商。</w:t>
      </w:r>
    </w:p>
    <w:p w14:paraId="20E5D18E">
      <w:pPr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询比标的物信息：</w:t>
      </w:r>
      <w:permStart w:id="0" w:edGrp="everyone"/>
      <w:r>
        <w:rPr>
          <w:rFonts w:hint="eastAsia"/>
          <w:lang w:val="en-US" w:eastAsia="zh-CN"/>
        </w:rPr>
        <w:t>本次采购服务内容为重庆建工集团股份首席专家于海祥、杨寿忠宣传短视频，是一部3</w:t>
      </w:r>
      <w:r>
        <w:rPr>
          <w:rFonts w:hint="eastAsia" w:ascii="宋体" w:hAnsi="宋体" w:eastAsia="宋体" w:cs="宋体"/>
          <w:lang w:val="en-US" w:eastAsia="zh-CN"/>
        </w:rPr>
        <w:t>－</w:t>
      </w:r>
      <w:r>
        <w:rPr>
          <w:rFonts w:hint="eastAsia"/>
          <w:lang w:val="en-US" w:eastAsia="zh-CN"/>
        </w:rPr>
        <w:t>5分钟左右的短视频，重点讲述宣传主体科研经历或科技创新感悟，大力弘扬爱国、创新、求实、奉献、协同、育人精神，体现榜样引领和示范带动作用。</w:t>
      </w:r>
    </w:p>
    <w:permEnd w:id="0"/>
    <w:p w14:paraId="1EBF7BA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服务期限为项目制作期20天。</w:t>
      </w:r>
    </w:p>
    <w:p w14:paraId="6D4020C4">
      <w:pPr>
        <w:numPr>
          <w:ilvl w:val="0"/>
          <w:numId w:val="1"/>
        </w:numPr>
        <w:bidi w:val="0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询比文件发布时间：</w:t>
      </w:r>
      <w:permStart w:id="1" w:edGrp="everyone"/>
      <w:r>
        <w:rPr>
          <w:rFonts w:hint="eastAsia"/>
          <w:lang w:val="en-US" w:eastAsia="zh-CN"/>
        </w:rPr>
        <w:t>2025年7月25</w:t>
      </w:r>
      <w:bookmarkStart w:id="1" w:name="_GoBack"/>
      <w:bookmarkEnd w:id="1"/>
      <w:r>
        <w:rPr>
          <w:rFonts w:hint="eastAsia"/>
          <w:lang w:val="en-US" w:eastAsia="zh-CN"/>
        </w:rPr>
        <w:t>日。</w:t>
      </w:r>
      <w:permEnd w:id="1"/>
    </w:p>
    <w:p w14:paraId="7E4050B0"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提交竞选文件地址：</w:t>
      </w:r>
      <w:permStart w:id="2" w:edGrp="everyone"/>
      <w:r>
        <w:rPr>
          <w:rFonts w:hint="eastAsia"/>
          <w:lang w:val="en-US" w:eastAsia="zh-CN"/>
        </w:rPr>
        <w:t>重庆市两江新区金开大道1596号建工产业大厦1704室。</w:t>
      </w:r>
      <w:permEnd w:id="2"/>
    </w:p>
    <w:p w14:paraId="24F3CEB7"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竞选截止时间：竞选文件需于20</w:t>
      </w:r>
      <w:permStart w:id="3" w:edGrp="everyone"/>
      <w:r>
        <w:rPr>
          <w:rFonts w:hint="eastAsia"/>
          <w:lang w:val="en-US" w:eastAsia="zh-CN"/>
        </w:rPr>
        <w:t>25</w:t>
      </w:r>
      <w:permEnd w:id="3"/>
      <w:r>
        <w:rPr>
          <w:rFonts w:hint="eastAsia"/>
          <w:lang w:val="en-US" w:eastAsia="zh-CN"/>
        </w:rPr>
        <w:t>年8月4日</w:t>
      </w:r>
      <w:permStart w:id="4" w:edGrp="everyone"/>
      <w:r>
        <w:rPr>
          <w:rFonts w:hint="eastAsia"/>
          <w:lang w:val="en-US" w:eastAsia="zh-CN"/>
        </w:rPr>
        <w:t>10:00</w:t>
      </w:r>
      <w:permEnd w:id="4"/>
      <w:r>
        <w:rPr>
          <w:rFonts w:hint="eastAsia"/>
          <w:lang w:val="en-US" w:eastAsia="zh-CN"/>
        </w:rPr>
        <w:t>（北京时间）前提交，逾期提交的竞选文件恕不接受。</w:t>
      </w:r>
    </w:p>
    <w:p w14:paraId="017F99C3"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请各竞选人严格按照询比文件相关条款参与竞选报价。</w:t>
      </w:r>
    </w:p>
    <w:p w14:paraId="02A2CC1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6A0DC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lang w:val="en-US" w:eastAsia="zh-CN"/>
        </w:rPr>
        <w:t>竞选人</w:t>
      </w: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</w:rPr>
        <w:t>须知</w:t>
      </w:r>
    </w:p>
    <w:p w14:paraId="3B1EE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</w:p>
    <w:p w14:paraId="51488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项目名称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：</w:t>
      </w:r>
      <w:permStart w:id="5" w:edGrp="everyone"/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 w:bidi="ar"/>
        </w:rPr>
        <w:t>重庆建工集团首席专家于海祥、杨寿忠宣传短视频</w:t>
      </w:r>
      <w:r>
        <w:rPr>
          <w:rFonts w:hint="eastAsia" w:ascii="方正仿宋_GBK" w:hAnsi="方正仿宋_GBK" w:cs="方正仿宋_GBK"/>
          <w:sz w:val="32"/>
          <w:szCs w:val="32"/>
          <w:highlight w:val="none"/>
          <w:u w:val="none"/>
          <w:lang w:val="en-US" w:eastAsia="zh-CN" w:bidi="ar"/>
        </w:rPr>
        <w:t>。</w:t>
      </w:r>
      <w:permEnd w:id="5"/>
    </w:p>
    <w:p w14:paraId="5DD78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u w:val="none"/>
          <w:lang w:val="en-US" w:eastAsia="zh-CN"/>
        </w:rPr>
        <w:t>二、采购主体</w:t>
      </w:r>
    </w:p>
    <w:p w14:paraId="1D8B1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bidi="ar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u w:val="none"/>
          <w:lang w:val="en-US" w:eastAsia="zh-CN"/>
        </w:rPr>
        <w:t>（一）采购人名称：</w:t>
      </w:r>
      <w:permStart w:id="6" w:edGrp="everyone"/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 w:bidi="ar"/>
        </w:rPr>
        <w:t>重庆建工集团股份有限公司</w:t>
      </w:r>
      <w:r>
        <w:rPr>
          <w:rFonts w:hint="eastAsia" w:ascii="方正仿宋_GBK" w:hAnsi="方正仿宋_GBK" w:cs="方正仿宋_GBK"/>
          <w:sz w:val="32"/>
          <w:szCs w:val="32"/>
          <w:highlight w:val="none"/>
          <w:u w:val="none"/>
          <w:lang w:val="en-US" w:eastAsia="zh-CN" w:bidi="ar"/>
        </w:rPr>
        <w:t>。</w:t>
      </w:r>
    </w:p>
    <w:permEnd w:id="6"/>
    <w:p w14:paraId="3DB54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 w:bidi="ar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u w:val="none"/>
          <w:lang w:eastAsia="zh-CN" w:bidi="ar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u w:val="none"/>
          <w:lang w:val="en-US" w:eastAsia="zh-CN" w:bidi="ar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u w:val="none"/>
          <w:lang w:eastAsia="zh-CN" w:bidi="ar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  <w:u w:val="none"/>
          <w:lang w:val="en-US" w:eastAsia="zh-CN" w:bidi="ar"/>
        </w:rPr>
        <w:t>采购人地址：</w:t>
      </w:r>
      <w:permStart w:id="7" w:edGrp="everyone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bidi="ar"/>
        </w:rPr>
        <w:t>重庆市两江新区金开大道1596号</w:t>
      </w:r>
      <w:r>
        <w:rPr>
          <w:rFonts w:hint="eastAsia" w:cs="Times New Roman"/>
          <w:sz w:val="32"/>
          <w:szCs w:val="32"/>
          <w:highlight w:val="none"/>
          <w:u w:val="none"/>
          <w:lang w:eastAsia="zh-CN" w:bidi="ar"/>
        </w:rPr>
        <w:t>。</w:t>
      </w:r>
    </w:p>
    <w:permEnd w:id="7"/>
    <w:p w14:paraId="7813A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u w:val="none"/>
          <w:lang w:val="en-US" w:eastAsia="zh-CN" w:bidi="ar"/>
        </w:rPr>
        <w:t>（三）采购联系人：</w:t>
      </w:r>
      <w:permStart w:id="8" w:edGrp="everyone"/>
      <w:r>
        <w:rPr>
          <w:rFonts w:hint="eastAsia" w:ascii="方正仿宋_GBK" w:hAnsi="方正仿宋_GBK" w:cs="方正仿宋_GBK"/>
          <w:sz w:val="32"/>
          <w:szCs w:val="32"/>
          <w:u w:val="none"/>
          <w:lang w:val="en-US" w:eastAsia="zh-CN" w:bidi="ar"/>
        </w:rPr>
        <w:t>徐立</w:t>
      </w:r>
      <w:permEnd w:id="8"/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 w:bidi="ar"/>
        </w:rPr>
        <w:t>，联系方式：</w:t>
      </w:r>
      <w:permStart w:id="9" w:edGrp="everyone"/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bidi="ar"/>
        </w:rPr>
        <w:t>座机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bidi="ar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 w:bidi="ar"/>
        </w:rPr>
        <w:t>63515817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bidi="ar"/>
        </w:rPr>
        <w:t>，手机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 w:bidi="ar"/>
        </w:rPr>
        <w:t>18680880245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 w:bidi="ar"/>
        </w:rPr>
        <w:t>。</w:t>
      </w:r>
    </w:p>
    <w:permEnd w:id="9"/>
    <w:p w14:paraId="3F1F7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三、竞选信息</w:t>
      </w:r>
    </w:p>
    <w:p w14:paraId="55F83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（一）竞选截止时间：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竞选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文件需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 w:bidi="ar"/>
        </w:rPr>
        <w:t>于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 w:bidi="ar"/>
        </w:rPr>
        <w:t>20</w:t>
      </w:r>
      <w:permStart w:id="10" w:edGrp="everyone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 w:bidi="ar"/>
        </w:rPr>
        <w:t>2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 w:bidi="ar"/>
        </w:rPr>
        <w:t>5</w:t>
      </w:r>
      <w:permEnd w:id="10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 w:bidi="ar"/>
        </w:rPr>
        <w:t>年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 w:bidi="ar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 w:bidi="ar"/>
        </w:rPr>
        <w:t>月</w:t>
      </w:r>
      <w:r>
        <w:rPr>
          <w:rFonts w:hint="eastAsia" w:cs="Times New Roman"/>
          <w:sz w:val="32"/>
          <w:szCs w:val="32"/>
          <w:highlight w:val="none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 w:bidi="ar"/>
        </w:rPr>
        <w:t>日</w:t>
      </w:r>
      <w:permStart w:id="11" w:edGrp="everyone"/>
      <w:r>
        <w:rPr>
          <w:rFonts w:hint="eastAsia" w:cs="Times New Roman"/>
          <w:sz w:val="32"/>
          <w:szCs w:val="32"/>
          <w:highlight w:val="none"/>
          <w:lang w:val="en-US" w:eastAsia="zh-CN" w:bidi="ar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 w:bidi="ar"/>
        </w:rPr>
        <w:t>:</w:t>
      </w:r>
      <w:r>
        <w:rPr>
          <w:rFonts w:hint="eastAsia" w:cs="Times New Roman"/>
          <w:sz w:val="32"/>
          <w:szCs w:val="32"/>
          <w:highlight w:val="none"/>
          <w:lang w:val="en-US" w:eastAsia="zh-CN" w:bidi="ar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 w:bidi="ar"/>
        </w:rPr>
        <w:t>0</w:t>
      </w:r>
      <w:permEnd w:id="11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京时间）前提交，逾期提交的竞选文件恕不接受。</w:t>
      </w:r>
    </w:p>
    <w:p w14:paraId="548C7A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（二）提交竞选文件地址：</w:t>
      </w:r>
      <w:permStart w:id="12" w:edGrp="everyone"/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none"/>
        </w:rPr>
        <w:t>重庆市两江新区金开大道1596号建工产业大厦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none"/>
          <w:lang w:val="en-US" w:eastAsia="zh-CN"/>
        </w:rPr>
        <w:t>04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none"/>
        </w:rPr>
        <w:t>室</w:t>
      </w:r>
      <w:r>
        <w:rPr>
          <w:rFonts w:hint="eastAsia" w:cs="Times New Roman"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  <w:permEnd w:id="12"/>
    </w:p>
    <w:p w14:paraId="61296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（三）开启竞选文件时间：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none"/>
          <w:lang w:val="en-US" w:eastAsia="zh-CN"/>
        </w:rPr>
        <w:t>20</w:t>
      </w:r>
      <w:permStart w:id="13" w:edGrp="everyone"/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highlight w:val="none"/>
          <w:u w:val="none"/>
          <w:lang w:val="en-US" w:eastAsia="zh-CN"/>
        </w:rPr>
        <w:t>5</w:t>
      </w:r>
      <w:permEnd w:id="13"/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highlight w:val="none"/>
          <w:u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cs="Times New Roman"/>
          <w:bCs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none"/>
          <w:lang w:val="en-US" w:eastAsia="zh-CN"/>
        </w:rPr>
        <w:t>日</w:t>
      </w:r>
      <w:permStart w:id="14" w:edGrp="everyone"/>
      <w:r>
        <w:rPr>
          <w:rFonts w:hint="default" w:ascii="Times New Roman" w:hAnsi="Times New Roman" w:cs="Times New Roman"/>
          <w:bCs/>
          <w:color w:val="auto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cs="Times New Roman"/>
          <w:bCs/>
          <w:color w:val="auto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none"/>
          <w:lang w:val="en-US" w:eastAsia="zh-CN"/>
        </w:rPr>
        <w:t>:</w:t>
      </w:r>
      <w:r>
        <w:rPr>
          <w:rFonts w:hint="eastAsia" w:cs="Times New Roman"/>
          <w:bCs/>
          <w:color w:val="auto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none"/>
          <w:lang w:val="en-US" w:eastAsia="zh-CN"/>
        </w:rPr>
        <w:t>0</w:t>
      </w:r>
      <w:permEnd w:id="14"/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u w:val="none"/>
          <w:lang w:val="en-US" w:eastAsia="zh-CN"/>
        </w:rPr>
        <w:t>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京时间）。</w:t>
      </w:r>
    </w:p>
    <w:p w14:paraId="7E6D9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（四）开启竞选文件地点：</w:t>
      </w:r>
      <w:permStart w:id="15" w:edGrp="everyone"/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u w:val="none"/>
        </w:rPr>
        <w:t>重庆市两江新区金开大道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none"/>
        </w:rPr>
        <w:t>1596号建工产业大厦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cs="Times New Roman"/>
          <w:bCs/>
          <w:color w:val="auto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none"/>
          <w:lang w:val="en-US" w:eastAsia="zh-CN"/>
        </w:rPr>
        <w:t>04室</w:t>
      </w:r>
      <w:r>
        <w:rPr>
          <w:rFonts w:hint="eastAsia" w:ascii="方正仿宋_GBK" w:hAnsi="方正仿宋_GBK" w:cs="方正仿宋_GBK"/>
          <w:bCs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permEnd w:id="15"/>
    </w:p>
    <w:p w14:paraId="20A71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u w:val="none"/>
          <w:lang w:val="en-US" w:eastAsia="zh-CN"/>
        </w:rPr>
        <w:t>四、询比信息</w:t>
      </w:r>
    </w:p>
    <w:p w14:paraId="0AAAA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（一）采购标的物相关信息：</w:t>
      </w:r>
    </w:p>
    <w:p w14:paraId="36F9943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u w:val="none"/>
          <w:lang w:val="en-US" w:eastAsia="zh-CN"/>
        </w:rPr>
        <w:t>项目名称：</w:t>
      </w:r>
      <w:r>
        <w:rPr>
          <w:rFonts w:hint="eastAsia" w:ascii="方正仿宋_GBK" w:hAnsi="方正仿宋_GBK" w:eastAsia="方正仿宋_GBK" w:cs="方正仿宋_GBK"/>
          <w:lang w:val="en-US" w:eastAsia="zh-CN"/>
        </w:rPr>
        <w:t>重庆建工集团首席专家于海祥、杨寿忠宣传短视频</w:t>
      </w:r>
      <w:r>
        <w:rPr>
          <w:rFonts w:hint="eastAsia" w:ascii="方正仿宋_GBK" w:hAnsi="方正仿宋_GBK" w:cs="方正仿宋_GBK"/>
          <w:lang w:val="en-US" w:eastAsia="zh-CN"/>
        </w:rPr>
        <w:t>。</w:t>
      </w:r>
    </w:p>
    <w:p w14:paraId="320D763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项目说明：</w:t>
      </w:r>
      <w:r>
        <w:rPr>
          <w:rFonts w:hint="default" w:ascii="Times New Roman" w:hAnsi="Times New Roman" w:eastAsia="方正仿宋_GBK" w:cs="Times New Roman"/>
          <w:lang w:val="en-US" w:eastAsia="zh-CN"/>
        </w:rPr>
        <w:t>重点讲述宣传主体科研经历或科技创新感悟，大力弘扬爱国、创新、求实、奉献、协同、育人精神，体现榜样引领和示范带动作用，通过短视频形式全面展示企业形象，为企业策划、拍摄3－5分钟的一部宣传片。</w:t>
      </w:r>
    </w:p>
    <w:p w14:paraId="160FE43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总体技术要求：</w:t>
      </w:r>
    </w:p>
    <w:p w14:paraId="4A3246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总体技术要求：以“科学精神，榜样引领”为主题，内容积极向上，感情真挚，有启发性、感染力，兼具时代性、科学性、艺术性、创新性，易于公众理解、产生共鸣。</w:t>
      </w:r>
    </w:p>
    <w:p w14:paraId="5697551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具体技术要求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 w14:paraId="2BC2C7ED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/>
        <w:ind w:left="0" w:leftChars="0" w:firstLine="640" w:firstLineChars="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脚本撰写：按重庆建工集团要求撰写（内容待供）</w:t>
      </w:r>
      <w:r>
        <w:rPr>
          <w:rFonts w:hint="eastAsia" w:ascii="Times New Roman" w:hAnsi="Times New Roman" w:eastAsia="方正仿宋_GBK" w:cs="Times New Roman"/>
          <w:lang w:val="en-US" w:eastAsia="zh-CN"/>
        </w:rPr>
        <w:t>。</w:t>
      </w:r>
    </w:p>
    <w:p w14:paraId="56BC5941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/>
        <w:ind w:left="0" w:leftChars="0" w:firstLine="640" w:firstLineChars="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拍摄器材：4k数字电影机拍摄（4096×2160）</w:t>
      </w:r>
      <w:r>
        <w:rPr>
          <w:rFonts w:hint="eastAsia" w:ascii="Times New Roman" w:hAnsi="Times New Roman" w:eastAsia="方正仿宋_GBK" w:cs="Times New Roman"/>
          <w:lang w:val="en-US" w:eastAsia="zh-CN"/>
        </w:rPr>
        <w:t>。</w:t>
      </w:r>
    </w:p>
    <w:p w14:paraId="2C90CE4F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/>
        <w:ind w:left="0" w:leftChars="0" w:firstLine="640" w:firstLineChars="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辅助器材：专业影视灯光组、八轴航拍器、大小型摄像摇臂、影视</w:t>
      </w:r>
      <w:r>
        <w:rPr>
          <w:rFonts w:hint="eastAsia" w:ascii="Times New Roman" w:hAnsi="Times New Roman" w:eastAsia="方正仿宋_GBK" w:cs="Times New Roman"/>
          <w:lang w:val="en-US" w:eastAsia="zh-CN"/>
        </w:rPr>
        <w:t>三脚架</w:t>
      </w:r>
      <w:r>
        <w:rPr>
          <w:rFonts w:hint="default" w:ascii="Times New Roman" w:hAnsi="Times New Roman" w:eastAsia="方正仿宋_GBK" w:cs="Times New Roman"/>
          <w:lang w:val="en-US" w:eastAsia="zh-CN"/>
        </w:rPr>
        <w:t>、脚架式影视滑轮、专业话筒等器材。</w:t>
      </w:r>
    </w:p>
    <w:p w14:paraId="2F363034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/>
        <w:ind w:left="0" w:leftChars="0" w:firstLine="640" w:firstLineChars="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播音员：国家级专业播音员。</w:t>
      </w:r>
    </w:p>
    <w:p w14:paraId="192DDA70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/>
        <w:ind w:left="0" w:leftChars="0" w:firstLine="640" w:firstLineChars="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后期制作：三维影视片头、片插包装、二维影视动画包装、影视剪辑、达芬奇调色等。</w:t>
      </w:r>
    </w:p>
    <w:p w14:paraId="2DA43886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/>
        <w:ind w:left="0" w:leftChars="0" w:firstLine="640" w:firstLineChars="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拍摄场景：选取部分重庆建工集团办公区域、基层单位，已完工工程、在建工程、重点工程等进行实地实景拍摄。</w:t>
      </w:r>
    </w:p>
    <w:p w14:paraId="357AA21F">
      <w:pPr>
        <w:numPr>
          <w:ilvl w:val="0"/>
          <w:numId w:val="3"/>
        </w:numPr>
        <w:bidi w:val="0"/>
        <w:ind w:left="0" w:leftChars="0" w:firstLine="640" w:firstLineChars="0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/>
          <w:lang w:val="en-US" w:eastAsia="zh-CN"/>
        </w:rPr>
        <w:t>短视频格式：MP4格式，时长3－5分钟；视频分辨率为1920×1080，画面比例为16:9；色彩自然，无背景噪音，去除所有水印和片头片尾，可配背景音乐，解说与背景音乐效果相匹配，声音与画面同步。</w:t>
      </w:r>
    </w:p>
    <w:p w14:paraId="6C39FA8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报价方式：</w:t>
      </w:r>
      <w:permStart w:id="16" w:edGrp="everyone"/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  <w:lang w:val="en-US" w:eastAsia="zh-CN"/>
        </w:rPr>
        <w:t>竞选人就项目费用进行报价</w:t>
      </w:r>
      <w:r>
        <w:rPr>
          <w:rFonts w:hint="eastAsia" w:ascii="方正仿宋_GBK" w:hAnsi="方正仿宋_GBK" w:cs="方正仿宋_GBK"/>
          <w:bCs/>
          <w:sz w:val="32"/>
          <w:szCs w:val="32"/>
          <w:highlight w:val="none"/>
          <w:lang w:val="en-US" w:eastAsia="zh-CN"/>
        </w:rPr>
        <w:t>。</w:t>
      </w:r>
    </w:p>
    <w:permEnd w:id="16"/>
    <w:p w14:paraId="3138406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竞选限价：</w:t>
      </w:r>
      <w:permStart w:id="17" w:edGrp="everyone"/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项目费用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</w:rPr>
        <w:t>限制总价为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yellow"/>
          <w:u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yellow"/>
          <w:u w:val="none"/>
          <w:lang w:val="en-US" w:eastAsia="zh-CN"/>
        </w:rPr>
        <w:t>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yellow"/>
          <w:u w:val="none"/>
        </w:rPr>
        <w:t>元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（项目费用总额包括为了完成招标内容</w:t>
      </w:r>
      <w:r>
        <w:rPr>
          <w:rFonts w:hint="eastAsia" w:ascii="方正仿宋_GBK" w:hAnsi="方正仿宋_GBK" w:cs="方正仿宋_GBK"/>
          <w:bCs/>
          <w:sz w:val="32"/>
          <w:szCs w:val="32"/>
          <w:lang w:val="en-US" w:eastAsia="zh-CN"/>
        </w:rPr>
        <w:t>所需的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一切工作的费用</w:t>
      </w:r>
      <w:r>
        <w:rPr>
          <w:rFonts w:hint="eastAsia" w:ascii="方正仿宋_GBK" w:hAnsi="方正仿宋_GBK" w:cs="方正仿宋_GBK"/>
          <w:bCs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还包括了在工作中所发生的其他各种因素的直接费、间接费、利润、税金</w:t>
      </w:r>
      <w:r>
        <w:rPr>
          <w:rFonts w:hint="eastAsia" w:ascii="方正仿宋_GBK" w:hAnsi="方正仿宋_GBK" w:cs="方正仿宋_GBK"/>
          <w:bCs/>
          <w:sz w:val="32"/>
          <w:szCs w:val="32"/>
          <w:lang w:val="en-US" w:eastAsia="zh-CN"/>
        </w:rPr>
        <w:t>及其他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税费、保险费等一切因本项目而产生的全部费用。）</w:t>
      </w:r>
      <w:permEnd w:id="17"/>
    </w:p>
    <w:p w14:paraId="40419DD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宋体" w:cs="Times New Roman"/>
          <w:sz w:val="21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结算支付方式：</w:t>
      </w:r>
      <w:permStart w:id="18" w:edGrp="everyone"/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合同</w:t>
      </w:r>
      <w:r>
        <w:rPr>
          <w:rFonts w:hint="eastAsia" w:ascii="方正仿宋_GBK" w:hAnsi="方正仿宋_GBK" w:cs="方正仿宋_GBK"/>
          <w:bCs/>
          <w:sz w:val="32"/>
          <w:szCs w:val="32"/>
          <w:lang w:val="en-US" w:eastAsia="zh-CN"/>
        </w:rPr>
        <w:t>签订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三个工作日内，甲方向乙方预付制作费总额的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50%作为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前期摄制费用；成片在完成送交后五个工作日内甲方向乙方支付全部余款。</w:t>
      </w:r>
      <w:permEnd w:id="18"/>
    </w:p>
    <w:p w14:paraId="513EC73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票据约定：</w:t>
      </w:r>
      <w:permStart w:id="19" w:edGrp="everyone"/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</w:rPr>
        <w:t>开具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</w:rPr>
        <w:t>增值税专用发票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lang w:val="en-US" w:eastAsia="zh-CN"/>
        </w:rPr>
        <w:t>税率6%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  <w:lang w:eastAsia="zh-CN"/>
        </w:rPr>
        <w:t>。</w:t>
      </w:r>
      <w:permEnd w:id="19"/>
    </w:p>
    <w:p w14:paraId="4304629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bCs/>
          <w:sz w:val="32"/>
          <w:szCs w:val="32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本次询比拟中选单位数量：</w:t>
      </w:r>
      <w:permStart w:id="20" w:edGrp="everyone"/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u w:val="none"/>
        </w:rPr>
        <w:t>1家</w:t>
      </w:r>
      <w:r>
        <w:rPr>
          <w:rFonts w:hint="eastAsia" w:cs="Times New Roman"/>
          <w:bCs/>
          <w:sz w:val="32"/>
          <w:szCs w:val="32"/>
          <w:highlight w:val="none"/>
          <w:u w:val="none"/>
          <w:lang w:eastAsia="zh-CN"/>
        </w:rPr>
        <w:t>。</w:t>
      </w:r>
      <w:permEnd w:id="20"/>
    </w:p>
    <w:p w14:paraId="3C743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方正楷体_GBK" w:hAnsi="方正楷体_GBK" w:eastAsia="方正楷体_GBK" w:cs="方正楷体_GBK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采购人其他特殊要求：</w:t>
      </w:r>
    </w:p>
    <w:p w14:paraId="4420AB0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permStart w:id="21" w:edGrp="everyone"/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  <w:u w:val="none"/>
          <w:lang w:val="en-US" w:eastAsia="zh-CN"/>
        </w:rPr>
        <w:t>竞选人能提供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企业简介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经年审合格的三证合一营业执照副本复印件（加盖企业公章）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广播电视节目制作业务经营许可证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 w14:paraId="11F7696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竞选人能提供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近三年主要业绩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 w14:paraId="17B3D364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选人能提供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拟投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设计方案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。</w:t>
      </w:r>
    </w:p>
    <w:p w14:paraId="029FE9F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竞选人能提供详细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报价单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。</w:t>
      </w:r>
    </w:p>
    <w:p w14:paraId="493E80A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-US" w:eastAsia="zh-CN"/>
        </w:rPr>
        <w:t>提供其他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需要说明和补充的事项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。</w:t>
      </w:r>
    </w:p>
    <w:p w14:paraId="6253A36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竞选人要将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全部文件资料（一式两份）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none"/>
          <w:lang w:val="en-US" w:eastAsia="zh-CN"/>
        </w:rPr>
        <w:t>统一装订成册后加盖骑缝章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permEnd w:id="21"/>
    </w:p>
    <w:p w14:paraId="01F1F40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73" w:leftChars="304" w:firstLine="0" w:firstLineChars="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询比评比</w:t>
      </w:r>
    </w:p>
    <w:p w14:paraId="6D1C63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（一）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竞</w:t>
      </w:r>
      <w:r>
        <w:rPr>
          <w:rFonts w:hint="eastAsia" w:ascii="方正仿宋_GBK" w:hAnsi="方正仿宋_GBK" w:cs="方正仿宋_GBK"/>
          <w:bCs/>
          <w:sz w:val="32"/>
          <w:szCs w:val="32"/>
          <w:lang w:val="en-US" w:eastAsia="zh-CN"/>
        </w:rPr>
        <w:t>选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文件中，</w:t>
      </w:r>
      <w:r>
        <w:rPr>
          <w:rFonts w:hint="eastAsia" w:ascii="方正仿宋_GBK" w:hAnsi="方正仿宋_GBK" w:cs="方正仿宋_GBK"/>
          <w:bCs/>
          <w:sz w:val="32"/>
          <w:szCs w:val="32"/>
          <w:lang w:val="en-US" w:eastAsia="zh-CN"/>
        </w:rPr>
        <w:t>询比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信息相关内容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  <w:t>不得变动，否则视为竞选无效。</w:t>
      </w:r>
    </w:p>
    <w:p w14:paraId="50C5DC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（二）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  <w:t>本次有效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  <w:u w:val="none"/>
          <w:lang w:val="en-US" w:eastAsia="zh-CN"/>
        </w:rPr>
        <w:t>竞选人需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达到</w:t>
      </w:r>
      <w:permStart w:id="22" w:edGrp="everyone"/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3</w:t>
      </w:r>
      <w:permEnd w:id="22"/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家以上（含</w:t>
      </w:r>
      <w:permStart w:id="23" w:edGrp="everyone"/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3</w:t>
      </w:r>
      <w:permEnd w:id="23"/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家）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  <w:u w:val="none"/>
          <w:lang w:val="en-US" w:eastAsia="zh-CN"/>
        </w:rPr>
        <w:t>，否则本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  <w:t>次</w:t>
      </w:r>
      <w:r>
        <w:rPr>
          <w:rFonts w:hint="eastAsia" w:ascii="方正仿宋_GBK" w:hAnsi="方正仿宋_GBK" w:cs="方正仿宋_GBK"/>
          <w:bCs/>
          <w:sz w:val="32"/>
          <w:szCs w:val="32"/>
          <w:lang w:val="en-US" w:eastAsia="zh-CN"/>
        </w:rPr>
        <w:t>询比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  <w:t>失败，需要重新进行再次</w:t>
      </w:r>
      <w:r>
        <w:rPr>
          <w:rFonts w:hint="eastAsia" w:ascii="方正仿宋_GBK" w:hAnsi="方正仿宋_GBK" w:cs="方正仿宋_GBK"/>
          <w:bCs/>
          <w:sz w:val="32"/>
          <w:szCs w:val="32"/>
          <w:lang w:val="en-US" w:eastAsia="zh-CN"/>
        </w:rPr>
        <w:t>询比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  <w:t>。</w:t>
      </w:r>
    </w:p>
    <w:p w14:paraId="5CB3BA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Cs/>
          <w:sz w:val="32"/>
          <w:szCs w:val="32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（三）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  <w:t>评比标准：</w:t>
      </w:r>
      <w:r>
        <w:rPr>
          <w:rFonts w:ascii="方正仿宋_GBK" w:hAnsi="方正仿宋_GBK" w:eastAsia="方正仿宋_GBK" w:cs="方正仿宋_GBK"/>
          <w:bCs/>
          <w:sz w:val="32"/>
          <w:szCs w:val="32"/>
          <w:highlight w:val="none"/>
        </w:rPr>
        <w:t>在满足必备条件情况下，评比小组对竞选人递交的有效</w:t>
      </w:r>
      <w:r>
        <w:rPr>
          <w:rFonts w:ascii="方正仿宋_GBK" w:hAnsi="方正仿宋_GBK" w:eastAsia="方正仿宋_GBK" w:cs="方正仿宋_GBK"/>
          <w:bCs/>
          <w:sz w:val="32"/>
          <w:szCs w:val="32"/>
          <w:highlight w:val="none"/>
          <w:u w:val="none"/>
        </w:rPr>
        <w:t>竞选文件进行评分，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  <w:u w:val="none"/>
          <w:lang w:val="en-US" w:eastAsia="zh-CN"/>
        </w:rPr>
        <w:t>综合总得分排名第一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u w:val="none"/>
          <w:lang w:val="en-US" w:eastAsia="zh-CN"/>
        </w:rPr>
        <w:t>的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  <w:u w:val="none"/>
          <w:lang w:val="en-US" w:eastAsia="zh-CN"/>
        </w:rPr>
        <w:t>竞选人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u w:val="none"/>
          <w:lang w:val="en-US" w:eastAsia="zh-CN"/>
        </w:rPr>
        <w:t>为中选候选人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u w:val="none"/>
          <w:lang w:val="en-US" w:eastAsia="zh-CN"/>
        </w:rPr>
        <w:t>。</w:t>
      </w:r>
    </w:p>
    <w:p w14:paraId="17CF7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21"/>
          <w:szCs w:val="24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u w:val="none"/>
          <w:lang w:val="en-US" w:eastAsia="zh-CN"/>
        </w:rPr>
        <w:t>综合报价得分最高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  <w:u w:val="none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u w:val="none"/>
          <w:lang w:val="en-US" w:eastAsia="zh-CN"/>
        </w:rPr>
        <w:t>分，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  <w:u w:val="none"/>
          <w:lang w:val="en-US" w:eastAsia="zh-CN"/>
        </w:rPr>
        <w:t>技术部分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u w:val="none"/>
          <w:lang w:val="en-US" w:eastAsia="zh-CN"/>
        </w:rPr>
        <w:t>得分最高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  <w:u w:val="none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u w:val="none"/>
          <w:lang w:val="en-US" w:eastAsia="zh-CN"/>
        </w:rPr>
        <w:t>分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  <w:u w:val="none"/>
          <w:lang w:val="en-US" w:eastAsia="zh-CN"/>
        </w:rPr>
        <w:t>，总分为100分，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u w:val="none"/>
          <w:lang w:val="en-US" w:eastAsia="zh-CN"/>
        </w:rPr>
        <w:t>具体评分方法如下：</w:t>
      </w:r>
    </w:p>
    <w:tbl>
      <w:tblPr>
        <w:tblStyle w:val="8"/>
        <w:tblpPr w:leftFromText="180" w:rightFromText="180" w:vertAnchor="text" w:horzAnchor="page" w:tblpX="1890" w:tblpY="3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020"/>
        <w:gridCol w:w="1875"/>
        <w:gridCol w:w="1176"/>
        <w:gridCol w:w="3796"/>
      </w:tblGrid>
      <w:tr w14:paraId="19462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noWrap w:val="0"/>
            <w:vAlign w:val="top"/>
          </w:tcPr>
          <w:p w14:paraId="37867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4"/>
                <w:lang w:val="en-US" w:eastAsia="zh-CN"/>
              </w:rPr>
              <w:t>序号</w:t>
            </w:r>
          </w:p>
        </w:tc>
        <w:tc>
          <w:tcPr>
            <w:tcW w:w="2895" w:type="dxa"/>
            <w:gridSpan w:val="2"/>
            <w:noWrap w:val="0"/>
            <w:vAlign w:val="top"/>
          </w:tcPr>
          <w:p w14:paraId="11617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4"/>
                <w:lang w:val="en-US" w:eastAsia="zh-CN"/>
              </w:rPr>
              <w:t>评分项目</w:t>
            </w:r>
          </w:p>
        </w:tc>
        <w:tc>
          <w:tcPr>
            <w:tcW w:w="1176" w:type="dxa"/>
            <w:noWrap w:val="0"/>
            <w:vAlign w:val="top"/>
          </w:tcPr>
          <w:p w14:paraId="5E627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4"/>
                <w:lang w:val="en-US" w:eastAsia="zh-CN"/>
              </w:rPr>
              <w:t>分项分数</w:t>
            </w:r>
          </w:p>
        </w:tc>
        <w:tc>
          <w:tcPr>
            <w:tcW w:w="3796" w:type="dxa"/>
            <w:noWrap w:val="0"/>
            <w:vAlign w:val="top"/>
          </w:tcPr>
          <w:p w14:paraId="2951B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4"/>
                <w:lang w:val="en-US" w:eastAsia="zh-CN"/>
              </w:rPr>
              <w:t>评分标准</w:t>
            </w:r>
          </w:p>
        </w:tc>
      </w:tr>
      <w:tr w14:paraId="65AA7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noWrap w:val="0"/>
            <w:vAlign w:val="center"/>
          </w:tcPr>
          <w:p w14:paraId="5F925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lang w:val="en-US" w:eastAsia="zh-CN"/>
              </w:rPr>
              <w:t>一</w:t>
            </w:r>
          </w:p>
        </w:tc>
        <w:tc>
          <w:tcPr>
            <w:tcW w:w="2895" w:type="dxa"/>
            <w:gridSpan w:val="2"/>
            <w:noWrap w:val="0"/>
            <w:vAlign w:val="center"/>
          </w:tcPr>
          <w:p w14:paraId="1F17D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lang w:val="en-US" w:eastAsia="zh-CN"/>
              </w:rPr>
              <w:t>综合报价部分（20分）</w:t>
            </w:r>
          </w:p>
        </w:tc>
        <w:tc>
          <w:tcPr>
            <w:tcW w:w="1176" w:type="dxa"/>
            <w:noWrap w:val="0"/>
            <w:vAlign w:val="center"/>
          </w:tcPr>
          <w:p w14:paraId="37E2C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lang w:val="en-US" w:eastAsia="zh-CN"/>
              </w:rPr>
              <w:t>20</w:t>
            </w:r>
          </w:p>
        </w:tc>
        <w:tc>
          <w:tcPr>
            <w:tcW w:w="3796" w:type="dxa"/>
            <w:noWrap w:val="0"/>
            <w:vAlign w:val="top"/>
          </w:tcPr>
          <w:p w14:paraId="17AB5184"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lang w:val="en-US" w:eastAsia="zh-CN"/>
              </w:rPr>
              <w:t>各竞选人的报价总价均不得超过对应的最高限价。</w:t>
            </w:r>
          </w:p>
          <w:p w14:paraId="2F4AA7A9"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lang w:val="en-US" w:eastAsia="zh-CN"/>
              </w:rPr>
              <w:t>项目建设费用报价得分（评比基准价/竞选报价）*20分，其中评比基准价为竞选价格最低的项目建设费用报价。</w:t>
            </w:r>
          </w:p>
        </w:tc>
      </w:tr>
      <w:tr w14:paraId="675EB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Merge w:val="restart"/>
            <w:noWrap w:val="0"/>
            <w:vAlign w:val="center"/>
          </w:tcPr>
          <w:p w14:paraId="3FA53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lang w:val="en-US" w:eastAsia="zh-CN"/>
              </w:rPr>
              <w:t>二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3101C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lang w:val="en-US" w:eastAsia="zh-CN"/>
              </w:rPr>
              <w:t>技术</w:t>
            </w:r>
          </w:p>
          <w:p w14:paraId="31D1F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lang w:val="en-US" w:eastAsia="zh-CN"/>
              </w:rPr>
              <w:t>部分</w:t>
            </w:r>
          </w:p>
          <w:p w14:paraId="02A64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lang w:val="en-US" w:eastAsia="zh-CN"/>
              </w:rPr>
              <w:t>（80分）</w:t>
            </w:r>
          </w:p>
        </w:tc>
        <w:tc>
          <w:tcPr>
            <w:tcW w:w="1875" w:type="dxa"/>
            <w:noWrap w:val="0"/>
            <w:vAlign w:val="center"/>
          </w:tcPr>
          <w:p w14:paraId="462EB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lang w:val="en-US" w:eastAsia="zh-CN"/>
              </w:rPr>
              <w:t>拍摄思路及创意</w:t>
            </w:r>
          </w:p>
        </w:tc>
        <w:tc>
          <w:tcPr>
            <w:tcW w:w="1176" w:type="dxa"/>
            <w:noWrap w:val="0"/>
            <w:vAlign w:val="center"/>
          </w:tcPr>
          <w:p w14:paraId="35309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lang w:val="en-US" w:eastAsia="zh-CN"/>
              </w:rPr>
              <w:t>40</w:t>
            </w:r>
          </w:p>
        </w:tc>
        <w:tc>
          <w:tcPr>
            <w:tcW w:w="3796" w:type="dxa"/>
            <w:noWrap w:val="0"/>
            <w:vAlign w:val="center"/>
          </w:tcPr>
          <w:p w14:paraId="3447E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lang w:val="en-US" w:eastAsia="zh-CN"/>
              </w:rPr>
              <w:t>整体框架结构或板块设置，拍摄思路的阐述。主线清晰、内容新颖、具有感染力、逻辑性和艺术性等。</w:t>
            </w:r>
          </w:p>
        </w:tc>
      </w:tr>
      <w:tr w14:paraId="4641B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Merge w:val="continue"/>
            <w:noWrap w:val="0"/>
            <w:vAlign w:val="top"/>
          </w:tcPr>
          <w:p w14:paraId="6D60D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4"/>
                <w:lang w:val="en-US" w:eastAsia="zh-CN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 w14:paraId="1DF92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4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729D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lang w:val="en-US" w:eastAsia="zh-CN"/>
              </w:rPr>
              <w:t>宣传片解说词</w:t>
            </w:r>
          </w:p>
        </w:tc>
        <w:tc>
          <w:tcPr>
            <w:tcW w:w="1176" w:type="dxa"/>
            <w:noWrap w:val="0"/>
            <w:vAlign w:val="center"/>
          </w:tcPr>
          <w:p w14:paraId="221AC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lang w:val="en-US" w:eastAsia="zh-CN"/>
              </w:rPr>
              <w:t>40</w:t>
            </w:r>
          </w:p>
        </w:tc>
        <w:tc>
          <w:tcPr>
            <w:tcW w:w="3796" w:type="dxa"/>
            <w:noWrap w:val="0"/>
            <w:vAlign w:val="center"/>
          </w:tcPr>
          <w:p w14:paraId="6514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lang w:val="en-US" w:eastAsia="zh-CN"/>
              </w:rPr>
              <w:t>要求呈现占比不少于30%的宣传片解说词，解说词要突出行业特点、紧扣企业发展历程，符合企业理念及企业品牌定位。</w:t>
            </w:r>
          </w:p>
        </w:tc>
      </w:tr>
    </w:tbl>
    <w:p w14:paraId="73347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bCs/>
          <w:sz w:val="32"/>
          <w:szCs w:val="32"/>
          <w:highlight w:val="none"/>
          <w:u w:val="none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highlight w:val="none"/>
        </w:rPr>
        <w:t>（四）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  <w:lang w:val="en-US" w:eastAsia="zh-CN"/>
        </w:rPr>
        <w:t>本次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</w:rPr>
        <w:t>为综合评分方式评比：</w:t>
      </w:r>
      <w:r>
        <w:rPr>
          <w:rFonts w:ascii="方正仿宋_GBK" w:hAnsi="方正仿宋_GBK" w:eastAsia="方正仿宋_GBK" w:cs="方正仿宋_GBK"/>
          <w:bCs/>
          <w:sz w:val="32"/>
          <w:szCs w:val="32"/>
          <w:highlight w:val="none"/>
        </w:rPr>
        <w:t>有两家及以上竞选人所报竞选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</w:rPr>
        <w:t>文件评分一致且同为最高得分</w:t>
      </w:r>
      <w:r>
        <w:rPr>
          <w:rFonts w:ascii="方正仿宋_GBK" w:hAnsi="方正仿宋_GBK" w:eastAsia="方正仿宋_GBK" w:cs="方正仿宋_GBK"/>
          <w:bCs/>
          <w:sz w:val="32"/>
          <w:szCs w:val="32"/>
          <w:highlight w:val="none"/>
        </w:rPr>
        <w:t>，采</w:t>
      </w:r>
      <w:r>
        <w:rPr>
          <w:rFonts w:ascii="方正仿宋_GBK" w:hAnsi="方正仿宋_GBK" w:eastAsia="方正仿宋_GBK" w:cs="方正仿宋_GBK"/>
          <w:bCs/>
          <w:sz w:val="32"/>
          <w:szCs w:val="32"/>
          <w:highlight w:val="none"/>
          <w:u w:val="none"/>
        </w:rPr>
        <w:t>购人依据</w:t>
      </w:r>
      <w:permStart w:id="24" w:edGrp="everyone"/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  <w:u w:val="none"/>
        </w:rPr>
        <w:t>竞选人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  <w:u w:val="none"/>
          <w:lang w:val="en-US" w:eastAsia="zh-CN"/>
        </w:rPr>
        <w:t>所报的综合报价部分较低者</w:t>
      </w:r>
      <w:permEnd w:id="24"/>
      <w:r>
        <w:rPr>
          <w:rFonts w:ascii="方正仿宋_GBK" w:hAnsi="方正仿宋_GBK" w:eastAsia="方正仿宋_GBK" w:cs="方正仿宋_GBK"/>
          <w:bCs/>
          <w:sz w:val="32"/>
          <w:szCs w:val="32"/>
          <w:highlight w:val="none"/>
          <w:u w:val="none"/>
        </w:rPr>
        <w:t>自行确认最终中选人。</w:t>
      </w:r>
    </w:p>
    <w:p w14:paraId="6D2ED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bCs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highlight w:val="none"/>
        </w:rPr>
        <w:t>（五）</w:t>
      </w:r>
      <w:r>
        <w:rPr>
          <w:rFonts w:ascii="方正仿宋_GBK" w:hAnsi="方正仿宋_GBK" w:eastAsia="方正仿宋_GBK" w:cs="方正仿宋_GBK"/>
          <w:bCs/>
          <w:sz w:val="32"/>
          <w:szCs w:val="32"/>
          <w:highlight w:val="none"/>
        </w:rPr>
        <w:t>必要时采购人可以对竞选人的竞选报价提出质询。</w:t>
      </w:r>
    </w:p>
    <w:p w14:paraId="142064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六、竞选资料</w:t>
      </w:r>
    </w:p>
    <w:p w14:paraId="5128A1A6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竞选报价表（加盖鲜章）；</w:t>
      </w:r>
    </w:p>
    <w:p w14:paraId="6976D2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拍摄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思路及创意、宣传片解说词等相关资料。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黑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B1D74A"/>
    <w:multiLevelType w:val="singleLevel"/>
    <w:tmpl w:val="84B1D7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209C50D"/>
    <w:multiLevelType w:val="singleLevel"/>
    <w:tmpl w:val="C209C50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DA99A14"/>
    <w:multiLevelType w:val="singleLevel"/>
    <w:tmpl w:val="FDA99A14"/>
    <w:lvl w:ilvl="0" w:tentative="0">
      <w:start w:val="2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  <w:sz w:val="32"/>
        <w:szCs w:val="32"/>
      </w:rPr>
    </w:lvl>
  </w:abstractNum>
  <w:abstractNum w:abstractNumId="3">
    <w:nsid w:val="09DF6AF9"/>
    <w:multiLevelType w:val="singleLevel"/>
    <w:tmpl w:val="09DF6AF9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sz w:val="32"/>
        <w:szCs w:val="32"/>
      </w:rPr>
    </w:lvl>
  </w:abstractNum>
  <w:abstractNum w:abstractNumId="4">
    <w:nsid w:val="0DB64FC3"/>
    <w:multiLevelType w:val="singleLevel"/>
    <w:tmpl w:val="0DB64FC3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</w:rPr>
    </w:lvl>
  </w:abstractNum>
  <w:abstractNum w:abstractNumId="5">
    <w:nsid w:val="3148FF72"/>
    <w:multiLevelType w:val="singleLevel"/>
    <w:tmpl w:val="3148FF72"/>
    <w:lvl w:ilvl="0" w:tentative="0">
      <w:start w:val="1"/>
      <w:numFmt w:val="decimal"/>
      <w:suff w:val="nothing"/>
      <w:lvlText w:val="(%1)"/>
      <w:lvlJc w:val="left"/>
      <w:pPr>
        <w:ind w:left="0" w:firstLine="640"/>
      </w:pPr>
      <w:rPr>
        <w:rFonts w:hint="default" w:ascii="Times New Roman" w:hAnsi="Times New Roman" w:cs="Times New Roman"/>
        <w:sz w:val="32"/>
        <w:szCs w:val="32"/>
      </w:rPr>
    </w:lvl>
  </w:abstractNum>
  <w:abstractNum w:abstractNumId="6">
    <w:nsid w:val="3906C27E"/>
    <w:multiLevelType w:val="singleLevel"/>
    <w:tmpl w:val="3906C27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663A972E"/>
    <w:multiLevelType w:val="singleLevel"/>
    <w:tmpl w:val="663A972E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 w:ascii="Times New Roman" w:hAnsi="Times New Roman" w:cs="Times New Roman"/>
        <w:sz w:val="32"/>
        <w:szCs w:val="32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C0609"/>
    <w:rsid w:val="055C5374"/>
    <w:rsid w:val="05720925"/>
    <w:rsid w:val="06723917"/>
    <w:rsid w:val="0C0B585A"/>
    <w:rsid w:val="13041F26"/>
    <w:rsid w:val="15AD04C1"/>
    <w:rsid w:val="305151F1"/>
    <w:rsid w:val="36910587"/>
    <w:rsid w:val="49D3065A"/>
    <w:rsid w:val="4A50136E"/>
    <w:rsid w:val="557B3584"/>
    <w:rsid w:val="55F405CC"/>
    <w:rsid w:val="560D7527"/>
    <w:rsid w:val="61DE2022"/>
    <w:rsid w:val="61E65E87"/>
    <w:rsid w:val="66A03D4A"/>
    <w:rsid w:val="685B3009"/>
    <w:rsid w:val="6FE848CE"/>
    <w:rsid w:val="76E8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580" w:lineRule="exact"/>
      <w:ind w:firstLine="200" w:firstLineChars="200"/>
      <w:jc w:val="both"/>
      <w:textAlignment w:val="auto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ind w:firstLine="640"/>
      <w:contextualSpacing/>
      <w:jc w:val="left"/>
      <w:outlineLvl w:val="0"/>
    </w:pPr>
    <w:rPr>
      <w:rFonts w:ascii="方正宋黑_GBK" w:eastAsia="方正宋黑_GBK"/>
      <w:bCs/>
      <w:kern w:val="44"/>
      <w:szCs w:val="44"/>
      <w:lang w:eastAsia="zh-TW"/>
    </w:rPr>
  </w:style>
  <w:style w:type="paragraph" w:styleId="4">
    <w:name w:val="heading 2"/>
    <w:basedOn w:val="1"/>
    <w:next w:val="1"/>
    <w:unhideWhenUsed/>
    <w:qFormat/>
    <w:uiPriority w:val="0"/>
    <w:pPr>
      <w:outlineLvl w:val="1"/>
    </w:pPr>
    <w:rPr>
      <w:rFonts w:ascii="方正黑体_GBK" w:hAnsi="方正黑体_GBK" w:eastAsia="方正黑体_GBK" w:cs="方正黑体_GBK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580" w:lineRule="exact"/>
      <w:ind w:firstLine="640" w:firstLineChars="200"/>
    </w:pPr>
    <w:rPr>
      <w:rFonts w:ascii="仿宋" w:hAnsi="仿宋" w:eastAsia="仿宋" w:cs="仿宋"/>
      <w:sz w:val="32"/>
      <w:szCs w:val="32"/>
      <w:u w:val="none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TOC Heading"/>
    <w:basedOn w:val="3"/>
    <w:next w:val="1"/>
    <w:unhideWhenUsed/>
    <w:qFormat/>
    <w:uiPriority w:val="39"/>
    <w:pPr>
      <w:widowControl/>
      <w:spacing w:before="240" w:line="259" w:lineRule="auto"/>
      <w:ind w:firstLine="0" w:firstLineChars="0"/>
      <w:contextualSpacing w:val="0"/>
      <w:outlineLvl w:val="9"/>
    </w:pPr>
    <w:rPr>
      <w:rFonts w:asciiTheme="majorHAnsi" w:hAnsiTheme="majorHAnsi" w:eastAsiaTheme="majorEastAsia" w:cstheme="majorBidi"/>
      <w:bCs w:val="0"/>
      <w:color w:val="2E54A1" w:themeColor="accent1" w:themeShade="BF"/>
      <w:kern w:val="0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2065</Words>
  <Characters>2172</Characters>
  <Lines>0</Lines>
  <Paragraphs>0</Paragraphs>
  <TotalTime>14</TotalTime>
  <ScaleCrop>false</ScaleCrop>
  <LinksUpToDate>false</LinksUpToDate>
  <CharactersWithSpaces>2176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2025-07-23T06:28:00Z</dcterms:created>
  <dc:creator>Administrator</dc:creator>
  <cp:lastModifiedBy>最聪明的猪头</cp:lastModifiedBy>
  <dcterms:modified xsi:type="dcterms:W3CDTF">2025-07-25T07:12:23Z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eyJoZGlkIjoiODlkZTYzZWQxYmM0MTgzMDUxNTUwY2MyNGQwYjliMzYiLCJ1c2VySWQiOiI1NjYwNzEwNTAifQ==</vt:lpwstr>
  </property>
  <property fmtid="{D5CDD505-2E9C-101B-9397-08002B2CF9AE}" pid="4" name="ICV">
    <vt:lpwstr>E7BB17126A3E4EB98D3A95662902F0FA_12</vt:lpwstr>
  </property>
</Properties>
</file>